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58" w:rsidRDefault="00E21658" w:rsidP="00E21658">
      <w:pPr>
        <w:spacing w:line="240" w:lineRule="auto"/>
        <w:jc w:val="both"/>
        <w:rPr>
          <w:rFonts w:ascii="Times New Roman" w:hAnsi="Times New Roman" w:cs="Times New Roman"/>
          <w:sz w:val="24"/>
          <w:szCs w:val="24"/>
        </w:rPr>
      </w:pPr>
      <w:r>
        <w:rPr>
          <w:rFonts w:ascii="Times New Roman" w:hAnsi="Times New Roman" w:cs="Times New Roman"/>
          <w:sz w:val="24"/>
          <w:szCs w:val="24"/>
        </w:rPr>
        <w:t>Таблица 1, Гос. Закупки, Центральный ФО,  цены контрактов до 250 000 р.</w:t>
      </w:r>
    </w:p>
    <w:tbl>
      <w:tblPr>
        <w:tblW w:w="13936" w:type="dxa"/>
        <w:tblInd w:w="93" w:type="dxa"/>
        <w:tblLook w:val="04A0" w:firstRow="1" w:lastRow="0" w:firstColumn="1" w:lastColumn="0" w:noHBand="0" w:noVBand="1"/>
      </w:tblPr>
      <w:tblGrid>
        <w:gridCol w:w="2224"/>
        <w:gridCol w:w="3198"/>
        <w:gridCol w:w="603"/>
        <w:gridCol w:w="1247"/>
        <w:gridCol w:w="1222"/>
        <w:gridCol w:w="1844"/>
        <w:gridCol w:w="1520"/>
        <w:gridCol w:w="1102"/>
        <w:gridCol w:w="976"/>
      </w:tblGrid>
      <w:tr w:rsidR="00E21658" w:rsidRPr="001F55D5" w:rsidTr="00E21658">
        <w:trPr>
          <w:trHeight w:val="621"/>
        </w:trPr>
        <w:tc>
          <w:tcPr>
            <w:tcW w:w="2010"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both"/>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Закупка №</w:t>
            </w:r>
          </w:p>
        </w:tc>
        <w:tc>
          <w:tcPr>
            <w:tcW w:w="358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Наименование закупки</w:t>
            </w:r>
          </w:p>
        </w:tc>
        <w:tc>
          <w:tcPr>
            <w:tcW w:w="545"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Кол-во</w:t>
            </w:r>
          </w:p>
        </w:tc>
        <w:tc>
          <w:tcPr>
            <w:tcW w:w="1247"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за ед. изм.</w:t>
            </w:r>
          </w:p>
        </w:tc>
        <w:tc>
          <w:tcPr>
            <w:tcW w:w="1222"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Стоимость контракта</w:t>
            </w:r>
          </w:p>
        </w:tc>
        <w:tc>
          <w:tcPr>
            <w:tcW w:w="1874" w:type="dxa"/>
            <w:tcBorders>
              <w:top w:val="nil"/>
              <w:left w:val="nil"/>
              <w:bottom w:val="nil"/>
              <w:right w:val="nil"/>
            </w:tcBorders>
            <w:shd w:val="clear" w:color="000000" w:fill="C5BE97"/>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Победитель 1-ое место</w:t>
            </w:r>
          </w:p>
        </w:tc>
        <w:tc>
          <w:tcPr>
            <w:tcW w:w="1374" w:type="dxa"/>
            <w:tcBorders>
              <w:top w:val="nil"/>
              <w:left w:val="nil"/>
              <w:bottom w:val="nil"/>
              <w:right w:val="nil"/>
            </w:tcBorders>
            <w:shd w:val="clear" w:color="000000" w:fill="C5BE97"/>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 xml:space="preserve">Представитель </w:t>
            </w:r>
          </w:p>
        </w:tc>
        <w:tc>
          <w:tcPr>
            <w:tcW w:w="1102" w:type="dxa"/>
            <w:tcBorders>
              <w:top w:val="nil"/>
              <w:left w:val="nil"/>
              <w:bottom w:val="nil"/>
              <w:right w:val="nil"/>
            </w:tcBorders>
            <w:shd w:val="clear" w:color="000000" w:fill="C5BE97"/>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контракта</w:t>
            </w:r>
          </w:p>
        </w:tc>
        <w:tc>
          <w:tcPr>
            <w:tcW w:w="976" w:type="dxa"/>
            <w:tcBorders>
              <w:top w:val="nil"/>
              <w:left w:val="nil"/>
              <w:bottom w:val="nil"/>
              <w:right w:val="nil"/>
            </w:tcBorders>
            <w:shd w:val="clear" w:color="000000" w:fill="C5BE97"/>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Цена за ед. изм.</w:t>
            </w:r>
          </w:p>
        </w:tc>
      </w:tr>
      <w:tr w:rsidR="00E21658" w:rsidRPr="001F55D5" w:rsidTr="00E21658">
        <w:trPr>
          <w:trHeight w:val="1242"/>
        </w:trPr>
        <w:tc>
          <w:tcPr>
            <w:tcW w:w="2010"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both"/>
              <w:rPr>
                <w:rFonts w:ascii="Calibri" w:eastAsia="Times New Roman" w:hAnsi="Calibri" w:cs="Times New Roman"/>
                <w:color w:val="0000FF"/>
                <w:sz w:val="20"/>
                <w:szCs w:val="20"/>
                <w:u w:val="single"/>
              </w:rPr>
            </w:pPr>
            <w:hyperlink r:id="rId4" w:history="1">
              <w:r w:rsidRPr="001F55D5">
                <w:rPr>
                  <w:rFonts w:ascii="Calibri" w:eastAsia="Times New Roman" w:hAnsi="Calibri" w:cs="Times New Roman"/>
                  <w:color w:val="0000FF"/>
                  <w:sz w:val="20"/>
                  <w:u w:val="single"/>
                </w:rPr>
                <w:t>0328300038314000119</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и оценке рыночной стоимости годовой арендной платы земельных участков для нужд комитета по управлению муниципальным имуществом администрации Киржачского района</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19</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4 946,80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93 989,20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ООО ПЦ «Независимость» г.Воронеж</w:t>
            </w:r>
          </w:p>
        </w:tc>
        <w:tc>
          <w:tcPr>
            <w:tcW w:w="13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Перелетов Алексей Анатольевич</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16 000,00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842,00 р.</w:t>
            </w:r>
          </w:p>
        </w:tc>
      </w:tr>
      <w:tr w:rsidR="00E21658" w:rsidRPr="001F55D5" w:rsidTr="00E21658">
        <w:trPr>
          <w:trHeight w:val="1285"/>
        </w:trPr>
        <w:tc>
          <w:tcPr>
            <w:tcW w:w="2010"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both"/>
              <w:rPr>
                <w:rFonts w:ascii="Calibri" w:eastAsia="Times New Roman" w:hAnsi="Calibri" w:cs="Times New Roman"/>
                <w:color w:val="0000FF"/>
                <w:sz w:val="20"/>
                <w:szCs w:val="20"/>
                <w:u w:val="single"/>
              </w:rPr>
            </w:pPr>
            <w:hyperlink r:id="rId5" w:history="1">
              <w:r w:rsidRPr="001F55D5">
                <w:rPr>
                  <w:rFonts w:ascii="Calibri" w:eastAsia="Times New Roman" w:hAnsi="Calibri" w:cs="Times New Roman"/>
                  <w:color w:val="0000FF"/>
                  <w:sz w:val="20"/>
                  <w:u w:val="single"/>
                </w:rPr>
                <w:t>0328300038314000120</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и оценке рыночной стоимости годовой арендной платы земельных участков для нужд комитета по управлению муниципальным имуществом администрации Киржачского района</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18</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5 101,51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91 827,18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ООО ПЦ «Независимость» г.Воронеж</w:t>
            </w:r>
          </w:p>
        </w:tc>
        <w:tc>
          <w:tcPr>
            <w:tcW w:w="13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Перелетов Алексей Анатольевич</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18 000,00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1000,00 р.</w:t>
            </w:r>
          </w:p>
        </w:tc>
      </w:tr>
      <w:tr w:rsidR="00E21658" w:rsidRPr="001F55D5" w:rsidTr="00E21658">
        <w:trPr>
          <w:trHeight w:val="852"/>
        </w:trPr>
        <w:tc>
          <w:tcPr>
            <w:tcW w:w="2010"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both"/>
              <w:rPr>
                <w:rFonts w:ascii="Calibri" w:eastAsia="Times New Roman" w:hAnsi="Calibri" w:cs="Times New Roman"/>
                <w:color w:val="0000FF"/>
                <w:sz w:val="20"/>
                <w:szCs w:val="20"/>
                <w:u w:val="single"/>
              </w:rPr>
            </w:pPr>
            <w:hyperlink r:id="rId6" w:history="1">
              <w:r w:rsidRPr="001F55D5">
                <w:rPr>
                  <w:rFonts w:ascii="Calibri" w:eastAsia="Times New Roman" w:hAnsi="Calibri" w:cs="Times New Roman"/>
                  <w:color w:val="0000FF"/>
                  <w:sz w:val="20"/>
                  <w:u w:val="single"/>
                </w:rPr>
                <w:t>171200001715000000</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земельных участков, находящихся в собственности Ярославской области</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15 000,00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120 000,00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ИП Максимова Татьяна Валерьевна г. Переславль-Залесский</w:t>
            </w:r>
          </w:p>
        </w:tc>
        <w:tc>
          <w:tcPr>
            <w:tcW w:w="13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383838"/>
                <w:sz w:val="20"/>
                <w:szCs w:val="20"/>
              </w:rPr>
            </w:pPr>
            <w:r w:rsidRPr="001F55D5">
              <w:rPr>
                <w:rFonts w:ascii="Calibri" w:eastAsia="Times New Roman" w:hAnsi="Calibri" w:cs="Times New Roman"/>
                <w:color w:val="383838"/>
                <w:sz w:val="20"/>
                <w:szCs w:val="20"/>
              </w:rPr>
              <w:t>ИП Максимова Татьяна Валерьевна г. Переславль-Залесский</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6 000,00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750,00 р.</w:t>
            </w:r>
          </w:p>
        </w:tc>
      </w:tr>
      <w:tr w:rsidR="00E21658" w:rsidRPr="001F55D5" w:rsidTr="00E21658">
        <w:trPr>
          <w:trHeight w:val="1920"/>
        </w:trPr>
        <w:tc>
          <w:tcPr>
            <w:tcW w:w="2010"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both"/>
              <w:rPr>
                <w:rFonts w:ascii="Calibri" w:eastAsia="Times New Roman" w:hAnsi="Calibri" w:cs="Times New Roman"/>
                <w:color w:val="0000FF"/>
                <w:sz w:val="20"/>
                <w:szCs w:val="20"/>
                <w:u w:val="single"/>
              </w:rPr>
            </w:pPr>
            <w:hyperlink r:id="rId7" w:history="1">
              <w:r w:rsidRPr="001F55D5">
                <w:rPr>
                  <w:rFonts w:ascii="Calibri" w:eastAsia="Times New Roman" w:hAnsi="Calibri" w:cs="Times New Roman"/>
                  <w:color w:val="0000FF"/>
                  <w:sz w:val="20"/>
                  <w:u w:val="single"/>
                </w:rPr>
                <w:t>148300022414000000</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права на заключение договора аренды земельного участка из расчета рыночной стоимости годовой арендной платы на земельные участки из земель, государственная собственность на которые не разграничена, и рыночной стоимости годовой арендной платы за помещения Мос.Обл. Лотошинский р-н.</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4</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13 332,50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53 330,00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ООО Прима г. Лабытнанги Ямало-Ненецкий АО</w:t>
            </w:r>
          </w:p>
        </w:tc>
        <w:tc>
          <w:tcPr>
            <w:tcW w:w="13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Антонова Лариса Васильевна</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9 733,91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2 433,47 р</w:t>
            </w:r>
          </w:p>
        </w:tc>
        <w:bookmarkStart w:id="0" w:name="_GoBack"/>
        <w:bookmarkEnd w:id="0"/>
      </w:tr>
      <w:tr w:rsidR="00E21658" w:rsidRPr="001F55D5" w:rsidTr="00E21658">
        <w:trPr>
          <w:trHeight w:val="2281"/>
        </w:trPr>
        <w:tc>
          <w:tcPr>
            <w:tcW w:w="2010"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both"/>
              <w:rPr>
                <w:rFonts w:ascii="Calibri" w:eastAsia="Times New Roman" w:hAnsi="Calibri" w:cs="Times New Roman"/>
                <w:color w:val="0000FF"/>
                <w:sz w:val="20"/>
                <w:szCs w:val="20"/>
                <w:u w:val="single"/>
              </w:rPr>
            </w:pPr>
            <w:hyperlink r:id="rId8" w:history="1">
              <w:r w:rsidRPr="001F55D5">
                <w:rPr>
                  <w:rFonts w:ascii="Calibri" w:eastAsia="Times New Roman" w:hAnsi="Calibri" w:cs="Times New Roman"/>
                  <w:color w:val="0000FF"/>
                  <w:sz w:val="20"/>
                  <w:u w:val="single"/>
                </w:rPr>
                <w:t>148300022414000027</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Calibri" w:eastAsia="Times New Roman" w:hAnsi="Calibri" w:cs="Times New Roman"/>
                <w:color w:val="383838"/>
                <w:sz w:val="18"/>
                <w:szCs w:val="18"/>
              </w:rPr>
            </w:pPr>
            <w:r w:rsidRPr="001F55D5">
              <w:rPr>
                <w:rFonts w:ascii="Calibri" w:eastAsia="Times New Roman" w:hAnsi="Calibri" w:cs="Times New Roman"/>
                <w:color w:val="383838"/>
                <w:sz w:val="18"/>
                <w:szCs w:val="18"/>
              </w:rPr>
              <w:t>Оказание услуг по оценке рыночной стоимости права на заключение договора аренды земельного участка из расчета рыночной стоимости годовой арендной платы на земельные участки из земель, государственная собственность на которые не разграничена, по 18 земельным участкам, и рыночной стоимости годовой арендной платы за помещения Мос.Обл. Лотошинский р-н.</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18</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1 833,33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33 000,00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ООО Прима г. Лабытнанги Ямало-Ненецкий АО</w:t>
            </w:r>
          </w:p>
        </w:tc>
        <w:tc>
          <w:tcPr>
            <w:tcW w:w="13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Антонова Лариса Васильевна</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26 226,21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1 457,00 р.</w:t>
            </w:r>
          </w:p>
        </w:tc>
      </w:tr>
      <w:tr w:rsidR="00E21658" w:rsidRPr="001F55D5" w:rsidTr="00E21658">
        <w:trPr>
          <w:trHeight w:val="1155"/>
        </w:trPr>
        <w:tc>
          <w:tcPr>
            <w:tcW w:w="2010"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rPr>
                <w:rFonts w:ascii="Calibri" w:eastAsia="Times New Roman" w:hAnsi="Calibri" w:cs="Times New Roman"/>
                <w:color w:val="0000FF"/>
                <w:sz w:val="20"/>
                <w:szCs w:val="20"/>
                <w:u w:val="single"/>
              </w:rPr>
            </w:pPr>
            <w:r w:rsidRPr="001F55D5">
              <w:rPr>
                <w:rFonts w:ascii="Calibri" w:eastAsia="Times New Roman" w:hAnsi="Calibri" w:cs="Times New Roman"/>
                <w:color w:val="0000FF"/>
                <w:sz w:val="20"/>
                <w:szCs w:val="20"/>
                <w:u w:val="single"/>
              </w:rPr>
              <w:t>328300125114000000</w:t>
            </w:r>
          </w:p>
        </w:tc>
        <w:tc>
          <w:tcPr>
            <w:tcW w:w="3586" w:type="dxa"/>
            <w:tcBorders>
              <w:top w:val="nil"/>
              <w:left w:val="nil"/>
              <w:bottom w:val="nil"/>
              <w:right w:val="nil"/>
            </w:tcBorders>
            <w:shd w:val="clear" w:color="auto" w:fill="auto"/>
            <w:vAlign w:val="center"/>
            <w:hideMark/>
          </w:tcPr>
          <w:p w:rsidR="00E21658"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 xml:space="preserve">Оказание услуг по оценке рыночной стоимости объектов муниципального имущества совместно с земельными участками для нужд администрации муниципального образования </w:t>
            </w:r>
          </w:p>
          <w:p w:rsidR="00E21658"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 xml:space="preserve">Вязниковский район Владимирской </w:t>
            </w:r>
          </w:p>
          <w:p w:rsidR="00E21658" w:rsidRPr="001F55D5"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Области</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4</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6500,00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26 000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Общество с ограниченной ответственностью "КОНСАЛТ-СТАНДАРТЪ"</w:t>
            </w:r>
          </w:p>
        </w:tc>
        <w:tc>
          <w:tcPr>
            <w:tcW w:w="1374" w:type="dxa"/>
            <w:tcBorders>
              <w:top w:val="nil"/>
              <w:left w:val="nil"/>
              <w:bottom w:val="nil"/>
              <w:right w:val="nil"/>
            </w:tcBorders>
            <w:shd w:val="clear" w:color="000000" w:fill="EEECE1"/>
            <w:vAlign w:val="bottom"/>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6500,00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1 625,00 р.</w:t>
            </w:r>
          </w:p>
        </w:tc>
      </w:tr>
      <w:tr w:rsidR="00E21658" w:rsidRPr="001F55D5" w:rsidTr="00E21658">
        <w:trPr>
          <w:trHeight w:val="1155"/>
        </w:trPr>
        <w:tc>
          <w:tcPr>
            <w:tcW w:w="2010"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rPr>
                <w:rFonts w:ascii="Calibri" w:eastAsia="Times New Roman" w:hAnsi="Calibri" w:cs="Times New Roman"/>
                <w:color w:val="0000FF"/>
                <w:sz w:val="20"/>
                <w:szCs w:val="20"/>
                <w:u w:val="single"/>
              </w:rPr>
            </w:pPr>
            <w:r w:rsidRPr="001F55D5">
              <w:rPr>
                <w:rFonts w:ascii="Calibri" w:eastAsia="Times New Roman" w:hAnsi="Calibri" w:cs="Times New Roman"/>
                <w:color w:val="0000FF"/>
                <w:sz w:val="20"/>
                <w:szCs w:val="20"/>
                <w:u w:val="single"/>
              </w:rPr>
              <w:t>144300004014001000</w:t>
            </w:r>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оказание услуг по оценке рыночной стоимости недвижимого имущества муниципальной собственности города Курска</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70</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Tahoma" w:eastAsia="Times New Roman" w:hAnsi="Tahoma" w:cs="Tahoma"/>
                <w:b/>
                <w:bCs/>
                <w:color w:val="383838"/>
                <w:sz w:val="18"/>
                <w:szCs w:val="18"/>
              </w:rPr>
            </w:pPr>
            <w:r w:rsidRPr="001F55D5">
              <w:rPr>
                <w:rFonts w:ascii="Tahoma" w:eastAsia="Times New Roman" w:hAnsi="Tahoma" w:cs="Tahoma"/>
                <w:b/>
                <w:bCs/>
                <w:color w:val="383838"/>
                <w:sz w:val="18"/>
                <w:szCs w:val="18"/>
              </w:rPr>
              <w:t>1900,00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133 000,00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Общество с ограниченной ответственностью «Бюро кадастра города Курска»</w:t>
            </w:r>
          </w:p>
        </w:tc>
        <w:tc>
          <w:tcPr>
            <w:tcW w:w="1374" w:type="dxa"/>
            <w:tcBorders>
              <w:top w:val="nil"/>
              <w:left w:val="nil"/>
              <w:bottom w:val="nil"/>
              <w:right w:val="nil"/>
            </w:tcBorders>
            <w:shd w:val="clear" w:color="000000" w:fill="EEECE1"/>
            <w:vAlign w:val="bottom"/>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59 426,00 р.</w:t>
            </w:r>
          </w:p>
        </w:tc>
        <w:tc>
          <w:tcPr>
            <w:tcW w:w="976"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849 р.</w:t>
            </w:r>
          </w:p>
        </w:tc>
      </w:tr>
      <w:tr w:rsidR="00E21658" w:rsidRPr="001F55D5" w:rsidTr="00E21658">
        <w:trPr>
          <w:trHeight w:val="1054"/>
        </w:trPr>
        <w:tc>
          <w:tcPr>
            <w:tcW w:w="2010" w:type="dxa"/>
            <w:tcBorders>
              <w:top w:val="nil"/>
              <w:left w:val="nil"/>
              <w:bottom w:val="nil"/>
              <w:right w:val="nil"/>
            </w:tcBorders>
            <w:shd w:val="clear" w:color="auto" w:fill="auto"/>
            <w:vAlign w:val="center"/>
            <w:hideMark/>
          </w:tcPr>
          <w:p w:rsidR="00E21658" w:rsidRPr="001F55D5" w:rsidRDefault="00E21658" w:rsidP="00C94E4A">
            <w:pPr>
              <w:spacing w:after="0" w:line="240" w:lineRule="auto"/>
              <w:rPr>
                <w:rFonts w:ascii="Calibri" w:eastAsia="Times New Roman" w:hAnsi="Calibri" w:cs="Times New Roman"/>
                <w:color w:val="0000FF"/>
                <w:u w:val="single"/>
              </w:rPr>
            </w:pPr>
            <w:hyperlink r:id="rId9" w:history="1">
              <w:r w:rsidRPr="001F55D5">
                <w:rPr>
                  <w:rFonts w:ascii="Calibri" w:eastAsia="Times New Roman" w:hAnsi="Calibri" w:cs="Times New Roman"/>
                  <w:color w:val="0000FF"/>
                  <w:u w:val="single"/>
                </w:rPr>
                <w:t>146300030214000000</w:t>
              </w:r>
            </w:hyperlink>
          </w:p>
        </w:tc>
        <w:tc>
          <w:tcPr>
            <w:tcW w:w="3586" w:type="dxa"/>
            <w:tcBorders>
              <w:top w:val="nil"/>
              <w:left w:val="nil"/>
              <w:bottom w:val="nil"/>
              <w:right w:val="nil"/>
            </w:tcBorders>
            <w:shd w:val="clear" w:color="auto" w:fill="auto"/>
            <w:vAlign w:val="center"/>
            <w:hideMark/>
          </w:tcPr>
          <w:p w:rsidR="00E21658" w:rsidRPr="001F55D5" w:rsidRDefault="00E21658" w:rsidP="00C94E4A">
            <w:pPr>
              <w:spacing w:after="0" w:line="240" w:lineRule="auto"/>
              <w:rPr>
                <w:rFonts w:ascii="Tahoma" w:eastAsia="Times New Roman" w:hAnsi="Tahoma" w:cs="Tahoma"/>
                <w:color w:val="383838"/>
                <w:sz w:val="18"/>
                <w:szCs w:val="18"/>
              </w:rPr>
            </w:pPr>
            <w:r w:rsidRPr="001F55D5">
              <w:rPr>
                <w:rFonts w:ascii="Tahoma" w:eastAsia="Times New Roman" w:hAnsi="Tahoma" w:cs="Tahoma"/>
                <w:color w:val="383838"/>
                <w:sz w:val="18"/>
                <w:szCs w:val="18"/>
              </w:rPr>
              <w:t>оказание услуг по оценке рыночной стоимости объектов муниципальной собственности. Г. Липецк</w:t>
            </w:r>
          </w:p>
        </w:tc>
        <w:tc>
          <w:tcPr>
            <w:tcW w:w="545"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1</w:t>
            </w:r>
          </w:p>
        </w:tc>
        <w:tc>
          <w:tcPr>
            <w:tcW w:w="1247"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000000"/>
                <w:sz w:val="20"/>
                <w:szCs w:val="20"/>
              </w:rPr>
            </w:pPr>
            <w:r w:rsidRPr="001F55D5">
              <w:rPr>
                <w:rFonts w:ascii="Calibri" w:eastAsia="Times New Roman" w:hAnsi="Calibri" w:cs="Times New Roman"/>
                <w:b/>
                <w:bCs/>
                <w:color w:val="000000"/>
                <w:sz w:val="20"/>
                <w:szCs w:val="20"/>
              </w:rPr>
              <w:t>99 000 р.</w:t>
            </w:r>
          </w:p>
        </w:tc>
        <w:tc>
          <w:tcPr>
            <w:tcW w:w="1222" w:type="dxa"/>
            <w:tcBorders>
              <w:top w:val="nil"/>
              <w:left w:val="nil"/>
              <w:bottom w:val="nil"/>
              <w:right w:val="nil"/>
            </w:tcBorders>
            <w:shd w:val="clear" w:color="auto" w:fill="auto"/>
            <w:noWrap/>
            <w:vAlign w:val="center"/>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99 000 р.</w:t>
            </w:r>
          </w:p>
        </w:tc>
        <w:tc>
          <w:tcPr>
            <w:tcW w:w="1874" w:type="dxa"/>
            <w:tcBorders>
              <w:top w:val="nil"/>
              <w:left w:val="nil"/>
              <w:bottom w:val="nil"/>
              <w:right w:val="nil"/>
            </w:tcBorders>
            <w:shd w:val="clear" w:color="000000" w:fill="EEECE1"/>
            <w:vAlign w:val="center"/>
            <w:hideMark/>
          </w:tcPr>
          <w:p w:rsidR="00E21658" w:rsidRPr="001F55D5" w:rsidRDefault="00E21658" w:rsidP="00C94E4A">
            <w:pPr>
              <w:spacing w:after="0" w:line="240" w:lineRule="auto"/>
              <w:jc w:val="center"/>
              <w:rPr>
                <w:rFonts w:ascii="Tahoma" w:eastAsia="Times New Roman" w:hAnsi="Tahoma" w:cs="Tahoma"/>
                <w:color w:val="383838"/>
                <w:sz w:val="18"/>
                <w:szCs w:val="18"/>
              </w:rPr>
            </w:pPr>
            <w:r w:rsidRPr="001F55D5">
              <w:rPr>
                <w:rFonts w:ascii="Tahoma" w:eastAsia="Times New Roman" w:hAnsi="Tahoma" w:cs="Tahoma"/>
                <w:color w:val="383838"/>
                <w:sz w:val="18"/>
                <w:szCs w:val="18"/>
              </w:rPr>
              <w:t>ООО 'Прометей'</w:t>
            </w:r>
          </w:p>
        </w:tc>
        <w:tc>
          <w:tcPr>
            <w:tcW w:w="1374" w:type="dxa"/>
            <w:tcBorders>
              <w:top w:val="nil"/>
              <w:left w:val="nil"/>
              <w:bottom w:val="nil"/>
              <w:right w:val="nil"/>
            </w:tcBorders>
            <w:shd w:val="clear" w:color="000000" w:fill="EEECE1"/>
            <w:vAlign w:val="bottom"/>
            <w:hideMark/>
          </w:tcPr>
          <w:p w:rsidR="00E21658" w:rsidRPr="001F55D5" w:rsidRDefault="00E21658" w:rsidP="00C94E4A">
            <w:pPr>
              <w:spacing w:after="0" w:line="240" w:lineRule="auto"/>
              <w:jc w:val="center"/>
              <w:rPr>
                <w:rFonts w:ascii="Calibri" w:eastAsia="Times New Roman" w:hAnsi="Calibri" w:cs="Times New Roman"/>
                <w:color w:val="000000"/>
                <w:sz w:val="20"/>
                <w:szCs w:val="20"/>
              </w:rPr>
            </w:pPr>
            <w:r w:rsidRPr="001F55D5">
              <w:rPr>
                <w:rFonts w:ascii="Calibri" w:eastAsia="Times New Roman" w:hAnsi="Calibri" w:cs="Times New Roman"/>
                <w:color w:val="000000"/>
                <w:sz w:val="20"/>
                <w:szCs w:val="20"/>
              </w:rPr>
              <w:t> </w:t>
            </w:r>
          </w:p>
        </w:tc>
        <w:tc>
          <w:tcPr>
            <w:tcW w:w="1102"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b/>
                <w:bCs/>
                <w:color w:val="FF0000"/>
                <w:sz w:val="20"/>
                <w:szCs w:val="20"/>
              </w:rPr>
            </w:pPr>
            <w:r w:rsidRPr="001F55D5">
              <w:rPr>
                <w:rFonts w:ascii="Calibri" w:eastAsia="Times New Roman" w:hAnsi="Calibri" w:cs="Times New Roman"/>
                <w:b/>
                <w:bCs/>
                <w:color w:val="FF0000"/>
                <w:sz w:val="20"/>
                <w:szCs w:val="20"/>
              </w:rPr>
              <w:t>-7 055</w:t>
            </w:r>
          </w:p>
        </w:tc>
        <w:tc>
          <w:tcPr>
            <w:tcW w:w="976" w:type="dxa"/>
            <w:tcBorders>
              <w:top w:val="nil"/>
              <w:left w:val="nil"/>
              <w:bottom w:val="nil"/>
              <w:right w:val="nil"/>
            </w:tcBorders>
            <w:shd w:val="clear" w:color="000000" w:fill="EEECE1"/>
            <w:noWrap/>
            <w:vAlign w:val="center"/>
            <w:hideMark/>
          </w:tcPr>
          <w:p w:rsidR="00E21658" w:rsidRPr="001F55D5" w:rsidRDefault="00E21658" w:rsidP="00C94E4A">
            <w:pPr>
              <w:spacing w:after="0" w:line="240" w:lineRule="auto"/>
              <w:jc w:val="center"/>
              <w:rPr>
                <w:rFonts w:ascii="Calibri" w:eastAsia="Times New Roman" w:hAnsi="Calibri" w:cs="Times New Roman"/>
                <w:color w:val="FF0000"/>
                <w:sz w:val="20"/>
                <w:szCs w:val="20"/>
              </w:rPr>
            </w:pPr>
            <w:r w:rsidRPr="001F55D5">
              <w:rPr>
                <w:rFonts w:ascii="Calibri" w:eastAsia="Times New Roman" w:hAnsi="Calibri" w:cs="Times New Roman"/>
                <w:color w:val="FF0000"/>
                <w:sz w:val="20"/>
                <w:szCs w:val="20"/>
              </w:rPr>
              <w:t>-7 055</w:t>
            </w:r>
          </w:p>
        </w:tc>
      </w:tr>
    </w:tbl>
    <w:p w:rsidR="00DB1D2C" w:rsidRDefault="00E21658"/>
    <w:sectPr w:rsidR="00DB1D2C" w:rsidSect="00E216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58"/>
    <w:rsid w:val="00150C9A"/>
    <w:rsid w:val="00CD2846"/>
    <w:rsid w:val="00E2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8F79-60D2-4CF1-A88B-C47E195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1658"/>
    <w:rPr>
      <w:sz w:val="16"/>
      <w:szCs w:val="16"/>
    </w:rPr>
  </w:style>
  <w:style w:type="paragraph" w:styleId="a4">
    <w:name w:val="annotation text"/>
    <w:basedOn w:val="a"/>
    <w:link w:val="a5"/>
    <w:uiPriority w:val="99"/>
    <w:semiHidden/>
    <w:unhideWhenUsed/>
    <w:rsid w:val="00E21658"/>
    <w:pPr>
      <w:spacing w:line="240" w:lineRule="auto"/>
    </w:pPr>
    <w:rPr>
      <w:sz w:val="20"/>
      <w:szCs w:val="20"/>
    </w:rPr>
  </w:style>
  <w:style w:type="character" w:customStyle="1" w:styleId="a5">
    <w:name w:val="Текст примечания Знак"/>
    <w:basedOn w:val="a0"/>
    <w:link w:val="a4"/>
    <w:uiPriority w:val="99"/>
    <w:semiHidden/>
    <w:rsid w:val="00E21658"/>
    <w:rPr>
      <w:rFonts w:eastAsiaTheme="minorEastAsia"/>
      <w:sz w:val="20"/>
      <w:szCs w:val="20"/>
      <w:lang w:eastAsia="ru-RU"/>
    </w:rPr>
  </w:style>
  <w:style w:type="paragraph" w:styleId="a6">
    <w:name w:val="Balloon Text"/>
    <w:basedOn w:val="a"/>
    <w:link w:val="a7"/>
    <w:uiPriority w:val="99"/>
    <w:semiHidden/>
    <w:unhideWhenUsed/>
    <w:rsid w:val="00E216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165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ea44/view/common-info.html?regNumber=0148300022414000027" TargetMode="External"/><Relationship Id="rId3" Type="http://schemas.openxmlformats.org/officeDocument/2006/relationships/webSettings" Target="webSettings.xml"/><Relationship Id="rId7" Type="http://schemas.openxmlformats.org/officeDocument/2006/relationships/hyperlink" Target="http://zakupki.gov.ru/epz/order/notice/ea44/view/common-info.html?regNumber=0148300022414000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epz/order/notice/zk44/view/common-info.html?regNumber=0171200001715000003" TargetMode="External"/><Relationship Id="rId11" Type="http://schemas.openxmlformats.org/officeDocument/2006/relationships/theme" Target="theme/theme1.xml"/><Relationship Id="rId5" Type="http://schemas.openxmlformats.org/officeDocument/2006/relationships/hyperlink" Target="http://zakupki.gov.ru/epz/order/notice/ea44/view/supplier-results.html?regNumber=0328300038314000120" TargetMode="External"/><Relationship Id="rId10" Type="http://schemas.openxmlformats.org/officeDocument/2006/relationships/fontTable" Target="fontTable.xml"/><Relationship Id="rId4" Type="http://schemas.openxmlformats.org/officeDocument/2006/relationships/hyperlink" Target="http://zakupki.gov.ru/epz/order/notice/ea44/view/common-info.html?regNumber=0328300038314000119" TargetMode="External"/><Relationship Id="rId9" Type="http://schemas.openxmlformats.org/officeDocument/2006/relationships/hyperlink" Target="http://zakupki.gov.ru/epz/order/notice/ea44/view/supplier-results.html?regNumber=0146300030214000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Чеснокова</dc:creator>
  <cp:keywords/>
  <dc:description/>
  <cp:lastModifiedBy>Маша Чеснокова</cp:lastModifiedBy>
  <cp:revision>1</cp:revision>
  <dcterms:created xsi:type="dcterms:W3CDTF">2015-02-13T07:44:00Z</dcterms:created>
  <dcterms:modified xsi:type="dcterms:W3CDTF">2015-02-13T07:45:00Z</dcterms:modified>
</cp:coreProperties>
</file>